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0" w:rsidRDefault="005C4E30" w:rsidP="005C4E30">
      <w:pPr>
        <w:pStyle w:val="Title"/>
      </w:pPr>
      <w:r>
        <w:t>GIST OF ELITE OF APRDC ALUMNI</w:t>
      </w:r>
    </w:p>
    <w:p w:rsidR="005C4E30" w:rsidRDefault="005C4E30" w:rsidP="005C4E30">
      <w:pPr>
        <w:pStyle w:val="Title"/>
      </w:pPr>
    </w:p>
    <w:p w:rsidR="005C4E30" w:rsidRDefault="005C4E30" w:rsidP="005C4E3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ALUMNI MEMBERS IN </w:t>
      </w:r>
      <w:r w:rsidRPr="00200BB4">
        <w:rPr>
          <w:b/>
          <w:bCs/>
          <w:sz w:val="28"/>
          <w:szCs w:val="28"/>
          <w:u w:val="single"/>
          <w:lang w:val="en-US"/>
        </w:rPr>
        <w:t>CIVIL SERVICES</w:t>
      </w:r>
    </w:p>
    <w:p w:rsidR="005C4E30" w:rsidRPr="00200BB4" w:rsidRDefault="005C4E30" w:rsidP="005C4E30">
      <w:pPr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5C4E30" w:rsidTr="00E17807"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K.Sreenivasa Reddy, IPS</w:t>
            </w:r>
          </w:p>
        </w:tc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Addl. DGP Operations (Grey Hounds &amp; Octopus), Telangana</w:t>
            </w:r>
          </w:p>
        </w:tc>
        <w:tc>
          <w:tcPr>
            <w:tcW w:w="300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25550" cy="971550"/>
                  <wp:effectExtent l="0" t="0" r="0" b="0"/>
                  <wp:docPr id="3" name="Picture 1" descr="High Court objects to transfer of IPS officer who was probing liquor mafia 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 Court objects to transfer of IPS officer who was probing liquor mafia 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56" cy="99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30" w:rsidTr="00E17807"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M.Nagaraju IAS</w:t>
            </w:r>
          </w:p>
        </w:tc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 w:rsidRPr="00631E34">
              <w:rPr>
                <w:sz w:val="28"/>
                <w:szCs w:val="28"/>
                <w:lang w:val="en-US"/>
              </w:rPr>
              <w:t>Additional Secretary, Govt. of India, Min. of Coal, New Delhi</w:t>
            </w:r>
          </w:p>
        </w:tc>
        <w:tc>
          <w:tcPr>
            <w:tcW w:w="300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219200" cy="1251835"/>
                  <wp:effectExtent l="0" t="0" r="0" b="571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80" cy="130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30" w:rsidTr="00E17807"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M.Harishchandra Naik IRS</w:t>
            </w:r>
          </w:p>
        </w:tc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Commissioner of Income Tax (Appeals), Trissur.</w:t>
            </w:r>
          </w:p>
        </w:tc>
        <w:tc>
          <w:tcPr>
            <w:tcW w:w="300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 w:rsidRPr="00F76AF7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11169" cy="12439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08" cy="125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30" w:rsidTr="00E17807">
        <w:tc>
          <w:tcPr>
            <w:tcW w:w="3005" w:type="dxa"/>
          </w:tcPr>
          <w:p w:rsidR="005C4E30" w:rsidRPr="00B55C39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 Ram Manohar Rao IRAS</w:t>
            </w:r>
          </w:p>
        </w:tc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Special Secretary to Government of Andhra Pradesh, Municipal Administration &amp; Urban Development</w:t>
            </w:r>
          </w:p>
        </w:tc>
        <w:tc>
          <w:tcPr>
            <w:tcW w:w="300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0658" cy="104120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7" cy="110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30" w:rsidTr="00E17807">
        <w:tc>
          <w:tcPr>
            <w:tcW w:w="3005" w:type="dxa"/>
          </w:tcPr>
          <w:p w:rsidR="005C4E30" w:rsidRDefault="005C4E30" w:rsidP="00E17807">
            <w:pPr>
              <w:rPr>
                <w:sz w:val="18"/>
              </w:rPr>
            </w:pPr>
          </w:p>
          <w:p w:rsidR="005C4E30" w:rsidRPr="00A53C11" w:rsidRDefault="005C4E30" w:rsidP="00E17807">
            <w:pPr>
              <w:rPr>
                <w:sz w:val="28"/>
                <w:szCs w:val="28"/>
                <w:lang w:val="en-US"/>
              </w:rPr>
            </w:pPr>
            <w:r w:rsidRPr="00A53C11">
              <w:rPr>
                <w:sz w:val="28"/>
                <w:szCs w:val="28"/>
                <w:lang w:val="en-US"/>
              </w:rPr>
              <w:t>Mr.J.Meghanath, IRAS</w:t>
            </w:r>
          </w:p>
          <w:p w:rsidR="005C4E30" w:rsidRDefault="005C4E30" w:rsidP="00E17807">
            <w:pPr>
              <w:rPr>
                <w:sz w:val="18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C4E30" w:rsidRDefault="005C4E30" w:rsidP="005C4E30">
      <w:pPr>
        <w:rPr>
          <w:sz w:val="28"/>
          <w:szCs w:val="28"/>
          <w:lang w:val="en-US"/>
        </w:rPr>
      </w:pPr>
    </w:p>
    <w:p w:rsidR="005C4E30" w:rsidRDefault="005C4E30" w:rsidP="005C4E30">
      <w:pPr>
        <w:rPr>
          <w:sz w:val="18"/>
        </w:rPr>
      </w:pPr>
      <w:r>
        <w:rPr>
          <w:sz w:val="28"/>
          <w:szCs w:val="28"/>
          <w:lang w:val="en-US"/>
        </w:rPr>
        <w:lastRenderedPageBreak/>
        <w:br w:type="page"/>
      </w:r>
    </w:p>
    <w:p w:rsidR="005C4E30" w:rsidRPr="003D6070" w:rsidRDefault="005C4E30" w:rsidP="005C4E30">
      <w:pPr>
        <w:rPr>
          <w:b/>
          <w:bCs/>
          <w:sz w:val="28"/>
          <w:szCs w:val="28"/>
          <w:u w:val="single"/>
          <w:lang w:val="en-US"/>
        </w:rPr>
      </w:pPr>
      <w:r w:rsidRPr="003D6070">
        <w:rPr>
          <w:b/>
          <w:bCs/>
          <w:sz w:val="28"/>
          <w:szCs w:val="28"/>
          <w:u w:val="single"/>
          <w:lang w:val="en-US"/>
        </w:rPr>
        <w:lastRenderedPageBreak/>
        <w:t>Public Service &amp; State Services:</w:t>
      </w:r>
    </w:p>
    <w:tbl>
      <w:tblPr>
        <w:tblStyle w:val="TableGrid"/>
        <w:tblW w:w="0" w:type="auto"/>
        <w:tblLook w:val="04A0"/>
      </w:tblPr>
      <w:tblGrid>
        <w:gridCol w:w="3226"/>
        <w:gridCol w:w="3247"/>
        <w:gridCol w:w="2543"/>
      </w:tblGrid>
      <w:tr w:rsidR="005C4E30" w:rsidTr="00E17807">
        <w:tc>
          <w:tcPr>
            <w:tcW w:w="322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M.Shankar Narayana</w:t>
            </w:r>
          </w:p>
        </w:tc>
        <w:tc>
          <w:tcPr>
            <w:tcW w:w="3247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Minister for Roads &amp; Buildings, Government of Andhra Pradesh</w:t>
            </w:r>
          </w:p>
        </w:tc>
        <w:tc>
          <w:tcPr>
            <w:tcW w:w="2543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41459" cy="1232703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02" cy="126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30" w:rsidTr="00E17807">
        <w:tc>
          <w:tcPr>
            <w:tcW w:w="322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S.Harikrishna</w:t>
            </w:r>
          </w:p>
        </w:tc>
        <w:tc>
          <w:tcPr>
            <w:tcW w:w="3247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Vice-Chairman, Tirupati Urban Development Authority</w:t>
            </w:r>
          </w:p>
        </w:tc>
        <w:tc>
          <w:tcPr>
            <w:tcW w:w="2543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42904" cy="943337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29" cy="10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30" w:rsidTr="00E17807">
        <w:tc>
          <w:tcPr>
            <w:tcW w:w="322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Y.Chaitanya Murali</w:t>
            </w:r>
          </w:p>
        </w:tc>
        <w:tc>
          <w:tcPr>
            <w:tcW w:w="3247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Deputy Commissioner, Excise &amp; Prohibition, Government of Andhra Pradesh</w:t>
            </w:r>
          </w:p>
        </w:tc>
        <w:tc>
          <w:tcPr>
            <w:tcW w:w="2543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</w:p>
        </w:tc>
      </w:tr>
      <w:tr w:rsidR="005C4E30" w:rsidTr="00E17807">
        <w:tc>
          <w:tcPr>
            <w:tcW w:w="3226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Ch. Laxminarayana</w:t>
            </w:r>
          </w:p>
        </w:tc>
        <w:tc>
          <w:tcPr>
            <w:tcW w:w="3247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SP,</w:t>
            </w:r>
          </w:p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Government of Telangana</w:t>
            </w:r>
          </w:p>
        </w:tc>
        <w:tc>
          <w:tcPr>
            <w:tcW w:w="2543" w:type="dxa"/>
          </w:tcPr>
          <w:p w:rsidR="005C4E30" w:rsidRDefault="005C4E30" w:rsidP="00E1780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41" cy="1340336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32" cy="13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30" w:rsidRDefault="005C4E30" w:rsidP="005C4E30">
      <w:pPr>
        <w:rPr>
          <w:sz w:val="28"/>
          <w:szCs w:val="28"/>
          <w:lang w:val="en-US"/>
        </w:rPr>
      </w:pPr>
    </w:p>
    <w:p w:rsidR="005C4E30" w:rsidRDefault="005C4E30" w:rsidP="005C4E3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than 50 Alumni members are providing academic services as Professors &amp; Associate Professors in various universities across India viz., Central University of Hyderabad; Banaras University; Pondicherry University; Osmania University.</w:t>
      </w:r>
    </w:p>
    <w:p w:rsidR="005C4E30" w:rsidRDefault="005C4E30" w:rsidP="005C4E3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More than 200 Alumni members are in the professional fields like Chartered Accountants, Company Secretaries, </w:t>
      </w:r>
      <w:r w:rsidR="006D0C91">
        <w:rPr>
          <w:sz w:val="28"/>
          <w:szCs w:val="28"/>
          <w:lang w:val="en-US"/>
        </w:rPr>
        <w:t xml:space="preserve">Software Engineers, Indian Statistical Services, </w:t>
      </w:r>
      <w:r>
        <w:rPr>
          <w:sz w:val="28"/>
          <w:szCs w:val="28"/>
          <w:lang w:val="en-US"/>
        </w:rPr>
        <w:t>Cost Accountants, Advocates and alumni is proud to have some members in the Judiciary also.</w:t>
      </w:r>
    </w:p>
    <w:p w:rsidR="005C4E30" w:rsidRDefault="005C4E30" w:rsidP="005C4E3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than 50 Alumni members are rendering their services outside India.</w:t>
      </w:r>
    </w:p>
    <w:p w:rsidR="005C4E30" w:rsidRPr="008476EE" w:rsidRDefault="005C4E30" w:rsidP="005C4E3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Good number of Alumni members are working with Banks, Public Sector undertakings, Private Organizations and some have established educational institutions.</w:t>
      </w:r>
    </w:p>
    <w:p w:rsidR="00807092" w:rsidRDefault="006D0C91"/>
    <w:sectPr w:rsidR="00807092" w:rsidSect="00F76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3C"/>
    <w:multiLevelType w:val="hybridMultilevel"/>
    <w:tmpl w:val="15022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5C4E30"/>
    <w:rsid w:val="002523E6"/>
    <w:rsid w:val="0045397F"/>
    <w:rsid w:val="005C4E30"/>
    <w:rsid w:val="006D0C91"/>
    <w:rsid w:val="00E6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3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E3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4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C4E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2021-05-07T13:33:00Z</dcterms:created>
  <dcterms:modified xsi:type="dcterms:W3CDTF">2021-05-07T14:11:00Z</dcterms:modified>
</cp:coreProperties>
</file>